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right="525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959838</wp:posOffset>
            </wp:positionH>
            <wp:positionV relativeFrom="paragraph">
              <wp:posOffset>96385</wp:posOffset>
            </wp:positionV>
            <wp:extent cx="637047" cy="574640"/>
            <wp:effectExtent l="0" t="0" r="0" b="0"/>
            <wp:wrapNone/>
            <wp:docPr id="1" name="image1.png" descr="Coat of Arm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47" cy="57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STATE OF NEW YORK</w:t>
      </w:r>
      <w:r>
        <w:rPr>
          <w:spacing w:val="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STATE</w:t>
      </w:r>
    </w:p>
    <w:p>
      <w:pPr>
        <w:spacing w:before="0"/>
        <w:ind w:left="1382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29152" from="135.25pt,17.65951pt" to="549.7pt,17.65951pt" stroked="true" strokeweight="1.75pt" strokecolor="#000000">
            <v:stroke dashstyle="solid"/>
            <w10:wrap type="none"/>
          </v:line>
        </w:pict>
      </w:r>
      <w:r>
        <w:rPr>
          <w:b/>
          <w:sz w:val="24"/>
        </w:rPr>
        <w:t>COMMITTEE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GOVERNMENT</w:t>
      </w: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6508" w:val="left" w:leader="none"/>
        </w:tabs>
        <w:spacing w:line="149" w:lineRule="exact" w:before="95"/>
        <w:ind w:left="0" w:right="142" w:firstLine="0"/>
        <w:jc w:val="right"/>
        <w:rPr>
          <w:sz w:val="13"/>
        </w:rPr>
      </w:pPr>
      <w:r>
        <w:rPr>
          <w:sz w:val="13"/>
        </w:rPr>
        <w:t>Committee</w:t>
      </w:r>
      <w:r>
        <w:rPr>
          <w:spacing w:val="-1"/>
          <w:sz w:val="13"/>
        </w:rPr>
        <w:t> </w:t>
      </w:r>
      <w:r>
        <w:rPr>
          <w:sz w:val="13"/>
        </w:rPr>
        <w:t>Members</w:t>
        <w:tab/>
        <w:t>One</w:t>
      </w:r>
      <w:r>
        <w:rPr>
          <w:spacing w:val="-2"/>
          <w:sz w:val="13"/>
        </w:rPr>
        <w:t> </w:t>
      </w:r>
      <w:r>
        <w:rPr>
          <w:sz w:val="13"/>
        </w:rPr>
        <w:t>Commerce</w:t>
      </w:r>
      <w:r>
        <w:rPr>
          <w:spacing w:val="-1"/>
          <w:sz w:val="13"/>
        </w:rPr>
        <w:t> </w:t>
      </w:r>
      <w:r>
        <w:rPr>
          <w:sz w:val="13"/>
        </w:rPr>
        <w:t>Plaza,</w:t>
      </w:r>
      <w:r>
        <w:rPr>
          <w:spacing w:val="-1"/>
          <w:sz w:val="13"/>
        </w:rPr>
        <w:t> </w:t>
      </w:r>
      <w:r>
        <w:rPr>
          <w:sz w:val="13"/>
        </w:rPr>
        <w:t>99</w:t>
      </w:r>
      <w:r>
        <w:rPr>
          <w:spacing w:val="-2"/>
          <w:sz w:val="13"/>
        </w:rPr>
        <w:t> </w:t>
      </w:r>
      <w:r>
        <w:rPr>
          <w:sz w:val="13"/>
        </w:rPr>
        <w:t>Washington Ave.,</w:t>
      </w:r>
      <w:r>
        <w:rPr>
          <w:spacing w:val="-1"/>
          <w:sz w:val="13"/>
        </w:rPr>
        <w:t> </w:t>
      </w:r>
      <w:r>
        <w:rPr>
          <w:sz w:val="13"/>
        </w:rPr>
        <w:t>Suite</w:t>
      </w:r>
      <w:r>
        <w:rPr>
          <w:spacing w:val="-2"/>
          <w:sz w:val="13"/>
        </w:rPr>
        <w:t> </w:t>
      </w:r>
      <w:r>
        <w:rPr>
          <w:sz w:val="13"/>
        </w:rPr>
        <w:t>650</w:t>
      </w:r>
    </w:p>
    <w:p>
      <w:pPr>
        <w:spacing w:line="149" w:lineRule="exact" w:before="0"/>
        <w:ind w:left="0" w:right="144" w:firstLine="0"/>
        <w:jc w:val="right"/>
        <w:rPr>
          <w:sz w:val="13"/>
        </w:rPr>
      </w:pPr>
      <w:r>
        <w:rPr>
          <w:sz w:val="13"/>
        </w:rPr>
        <w:t>Albany,</w:t>
      </w:r>
      <w:r>
        <w:rPr>
          <w:spacing w:val="-1"/>
          <w:sz w:val="13"/>
        </w:rPr>
        <w:t> </w:t>
      </w:r>
      <w:r>
        <w:rPr>
          <w:sz w:val="13"/>
        </w:rPr>
        <w:t>New</w:t>
      </w:r>
      <w:r>
        <w:rPr>
          <w:spacing w:val="-1"/>
          <w:sz w:val="13"/>
        </w:rPr>
        <w:t> </w:t>
      </w:r>
      <w:r>
        <w:rPr>
          <w:sz w:val="13"/>
        </w:rPr>
        <w:t>York</w:t>
      </w:r>
      <w:r>
        <w:rPr>
          <w:spacing w:val="-4"/>
          <w:sz w:val="13"/>
        </w:rPr>
        <w:t> </w:t>
      </w:r>
      <w:r>
        <w:rPr>
          <w:sz w:val="13"/>
        </w:rPr>
        <w:t>12231</w:t>
      </w:r>
    </w:p>
    <w:p>
      <w:pPr>
        <w:tabs>
          <w:tab w:pos="8313" w:val="left" w:leader="none"/>
        </w:tabs>
        <w:spacing w:line="149" w:lineRule="exact" w:before="0"/>
        <w:ind w:left="0" w:right="148" w:firstLine="0"/>
        <w:jc w:val="right"/>
        <w:rPr>
          <w:sz w:val="13"/>
        </w:rPr>
      </w:pPr>
      <w:r>
        <w:rPr>
          <w:sz w:val="13"/>
        </w:rPr>
        <w:t>RoAnn M.</w:t>
      </w:r>
      <w:r>
        <w:rPr>
          <w:spacing w:val="1"/>
          <w:sz w:val="13"/>
        </w:rPr>
        <w:t> </w:t>
      </w:r>
      <w:r>
        <w:rPr>
          <w:sz w:val="13"/>
        </w:rPr>
        <w:t>Destito</w:t>
        <w:tab/>
        <w:t>Tel</w:t>
      </w:r>
      <w:r>
        <w:rPr>
          <w:spacing w:val="-4"/>
          <w:sz w:val="13"/>
        </w:rPr>
        <w:t> </w:t>
      </w:r>
      <w:r>
        <w:rPr>
          <w:sz w:val="13"/>
        </w:rPr>
        <w:t>(518) 474-2518</w:t>
      </w:r>
    </w:p>
    <w:p>
      <w:pPr>
        <w:tabs>
          <w:tab w:pos="8280" w:val="left" w:leader="none"/>
        </w:tabs>
        <w:spacing w:line="149" w:lineRule="exact" w:before="0"/>
        <w:ind w:left="0" w:right="157" w:firstLine="0"/>
        <w:jc w:val="right"/>
        <w:rPr>
          <w:sz w:val="13"/>
        </w:rPr>
      </w:pPr>
      <w:r>
        <w:rPr>
          <w:sz w:val="13"/>
        </w:rPr>
        <w:t>Robert J.</w:t>
      </w:r>
      <w:r>
        <w:rPr>
          <w:spacing w:val="1"/>
          <w:sz w:val="13"/>
        </w:rPr>
        <w:t> </w:t>
      </w:r>
      <w:r>
        <w:rPr>
          <w:sz w:val="13"/>
        </w:rPr>
        <w:t>Duffy</w:t>
        <w:tab/>
        <w:t>Fax (518)</w:t>
      </w:r>
      <w:r>
        <w:rPr>
          <w:spacing w:val="-1"/>
          <w:sz w:val="13"/>
        </w:rPr>
        <w:t> </w:t>
      </w:r>
      <w:r>
        <w:rPr>
          <w:sz w:val="13"/>
        </w:rPr>
        <w:t>474-1927</w:t>
      </w:r>
    </w:p>
    <w:p>
      <w:pPr>
        <w:tabs>
          <w:tab w:pos="8140" w:val="left" w:leader="none"/>
        </w:tabs>
        <w:spacing w:line="149" w:lineRule="exact" w:before="1"/>
        <w:ind w:left="0" w:right="166" w:firstLine="0"/>
        <w:jc w:val="right"/>
        <w:rPr>
          <w:sz w:val="13"/>
        </w:rPr>
      </w:pPr>
      <w:r>
        <w:rPr>
          <w:sz w:val="13"/>
        </w:rPr>
        <w:t>Robert</w:t>
      </w:r>
      <w:r>
        <w:rPr>
          <w:spacing w:val="-1"/>
          <w:sz w:val="13"/>
        </w:rPr>
        <w:t> </w:t>
      </w:r>
      <w:r>
        <w:rPr>
          <w:sz w:val="13"/>
        </w:rPr>
        <w:t>L.</w:t>
      </w:r>
      <w:r>
        <w:rPr>
          <w:spacing w:val="1"/>
          <w:sz w:val="13"/>
        </w:rPr>
        <w:t> </w:t>
      </w:r>
      <w:r>
        <w:rPr>
          <w:sz w:val="13"/>
        </w:rPr>
        <w:t>Megna</w:t>
        <w:tab/>
      </w:r>
      <w:hyperlink r:id="rId6">
        <w:r>
          <w:rPr>
            <w:color w:val="0000FF"/>
            <w:sz w:val="13"/>
            <w:u w:val="single" w:color="0000FF"/>
          </w:rPr>
          <w:t>www.dos.ny.gov/coog</w:t>
        </w:r>
      </w:hyperlink>
    </w:p>
    <w:p>
      <w:pPr>
        <w:spacing w:before="0"/>
        <w:ind w:left="120" w:right="8611" w:firstLine="0"/>
        <w:jc w:val="left"/>
        <w:rPr>
          <w:sz w:val="13"/>
        </w:rPr>
      </w:pPr>
      <w:r>
        <w:rPr>
          <w:sz w:val="13"/>
        </w:rPr>
        <w:t>Cesar</w:t>
      </w:r>
      <w:r>
        <w:rPr>
          <w:spacing w:val="-8"/>
          <w:sz w:val="13"/>
        </w:rPr>
        <w:t> </w:t>
      </w:r>
      <w:r>
        <w:rPr>
          <w:sz w:val="13"/>
        </w:rPr>
        <w:t>A.</w:t>
      </w:r>
      <w:r>
        <w:rPr>
          <w:spacing w:val="-6"/>
          <w:sz w:val="13"/>
        </w:rPr>
        <w:t> </w:t>
      </w:r>
      <w:r>
        <w:rPr>
          <w:sz w:val="13"/>
        </w:rPr>
        <w:t>Perales</w:t>
      </w:r>
      <w:r>
        <w:rPr>
          <w:spacing w:val="-30"/>
          <w:sz w:val="13"/>
        </w:rPr>
        <w:t> </w:t>
      </w:r>
      <w:r>
        <w:rPr>
          <w:sz w:val="13"/>
        </w:rPr>
        <w:t>Peter D.</w:t>
      </w:r>
      <w:r>
        <w:rPr>
          <w:spacing w:val="1"/>
          <w:sz w:val="13"/>
        </w:rPr>
        <w:t> </w:t>
      </w:r>
      <w:r>
        <w:rPr>
          <w:sz w:val="13"/>
        </w:rPr>
        <w:t>Grimm</w:t>
      </w:r>
    </w:p>
    <w:p>
      <w:pPr>
        <w:spacing w:before="1"/>
        <w:ind w:left="120" w:right="8496" w:firstLine="0"/>
        <w:jc w:val="left"/>
        <w:rPr>
          <w:sz w:val="13"/>
        </w:rPr>
      </w:pPr>
      <w:r>
        <w:rPr>
          <w:sz w:val="13"/>
        </w:rPr>
        <w:t>M.</w:t>
      </w:r>
      <w:r>
        <w:rPr>
          <w:spacing w:val="1"/>
          <w:sz w:val="13"/>
        </w:rPr>
        <w:t> </w:t>
      </w:r>
      <w:r>
        <w:rPr>
          <w:sz w:val="13"/>
        </w:rPr>
        <w:t>Jean</w:t>
      </w:r>
      <w:r>
        <w:rPr>
          <w:spacing w:val="1"/>
          <w:sz w:val="13"/>
        </w:rPr>
        <w:t> </w:t>
      </w:r>
      <w:r>
        <w:rPr>
          <w:sz w:val="13"/>
        </w:rPr>
        <w:t>Hill</w:t>
      </w:r>
      <w:r>
        <w:rPr>
          <w:spacing w:val="1"/>
          <w:sz w:val="13"/>
        </w:rPr>
        <w:t> </w:t>
      </w:r>
      <w:r>
        <w:rPr>
          <w:sz w:val="13"/>
        </w:rPr>
        <w:t>Hadley Horrigan</w:t>
      </w:r>
      <w:r>
        <w:rPr>
          <w:spacing w:val="1"/>
          <w:sz w:val="13"/>
        </w:rPr>
        <w:t> </w:t>
      </w:r>
      <w:r>
        <w:rPr>
          <w:sz w:val="13"/>
        </w:rPr>
        <w:t>Colleen Kavanagh</w:t>
      </w:r>
      <w:r>
        <w:rPr>
          <w:spacing w:val="-30"/>
          <w:sz w:val="13"/>
        </w:rPr>
        <w:t> </w:t>
      </w:r>
      <w:r>
        <w:rPr>
          <w:sz w:val="13"/>
        </w:rPr>
        <w:t>David</w:t>
      </w:r>
      <w:r>
        <w:rPr>
          <w:spacing w:val="1"/>
          <w:sz w:val="13"/>
        </w:rPr>
        <w:t> </w:t>
      </w:r>
      <w:r>
        <w:rPr>
          <w:sz w:val="13"/>
        </w:rPr>
        <w:t>A. Schulz</w:t>
      </w:r>
      <w:r>
        <w:rPr>
          <w:spacing w:val="1"/>
          <w:sz w:val="13"/>
        </w:rPr>
        <w:t> </w:t>
      </w:r>
      <w:r>
        <w:rPr>
          <w:sz w:val="13"/>
        </w:rPr>
        <w:t>Franklin H. Stone</w:t>
      </w:r>
      <w:r>
        <w:rPr>
          <w:spacing w:val="1"/>
          <w:sz w:val="13"/>
        </w:rPr>
        <w:t> </w:t>
      </w:r>
      <w:r>
        <w:rPr>
          <w:spacing w:val="-1"/>
          <w:sz w:val="13"/>
        </w:rPr>
        <w:t>Stephen</w:t>
      </w:r>
      <w:r>
        <w:rPr>
          <w:spacing w:val="-6"/>
          <w:sz w:val="13"/>
        </w:rPr>
        <w:t> </w:t>
      </w:r>
      <w:r>
        <w:rPr>
          <w:sz w:val="13"/>
        </w:rPr>
        <w:t>B.</w:t>
      </w:r>
      <w:r>
        <w:rPr>
          <w:spacing w:val="-5"/>
          <w:sz w:val="13"/>
        </w:rPr>
        <w:t> </w:t>
      </w:r>
      <w:r>
        <w:rPr>
          <w:sz w:val="13"/>
        </w:rPr>
        <w:t>Waters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spacing w:before="0"/>
        <w:ind w:left="120" w:right="0" w:firstLine="0"/>
        <w:jc w:val="left"/>
        <w:rPr>
          <w:sz w:val="13"/>
        </w:rPr>
      </w:pPr>
      <w:r>
        <w:rPr>
          <w:sz w:val="13"/>
        </w:rPr>
        <w:t>Executive</w:t>
      </w:r>
      <w:r>
        <w:rPr>
          <w:spacing w:val="-3"/>
          <w:sz w:val="13"/>
        </w:rPr>
        <w:t> </w:t>
      </w:r>
      <w:r>
        <w:rPr>
          <w:sz w:val="13"/>
        </w:rPr>
        <w:t>Director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120" w:right="0" w:firstLine="0"/>
        <w:jc w:val="left"/>
        <w:rPr>
          <w:sz w:val="13"/>
        </w:rPr>
      </w:pPr>
      <w:r>
        <w:rPr>
          <w:sz w:val="13"/>
        </w:rPr>
        <w:t>Robert</w:t>
      </w:r>
      <w:r>
        <w:rPr>
          <w:spacing w:val="-2"/>
          <w:sz w:val="13"/>
        </w:rPr>
        <w:t> </w:t>
      </w:r>
      <w:r>
        <w:rPr>
          <w:sz w:val="13"/>
        </w:rPr>
        <w:t>J. Freeman</w:t>
      </w:r>
    </w:p>
    <w:p>
      <w:pPr>
        <w:pStyle w:val="BodyText"/>
        <w:rPr>
          <w:sz w:val="14"/>
        </w:rPr>
      </w:pPr>
    </w:p>
    <w:p>
      <w:pPr>
        <w:pStyle w:val="Heading1"/>
        <w:spacing w:before="117"/>
        <w:ind w:left="120"/>
      </w:pPr>
      <w:r>
        <w:rPr/>
        <w:t>FOIL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5423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/>
      </w:pPr>
      <w:r>
        <w:rPr>
          <w:u w:val="single"/>
        </w:rPr>
        <w:t>E-Mail: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20"/>
      </w:pP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2014</w:t>
      </w:r>
    </w:p>
    <w:p>
      <w:pPr>
        <w:spacing w:after="0"/>
        <w:sectPr>
          <w:type w:val="continuous"/>
          <w:pgSz w:w="12240" w:h="15840"/>
          <w:pgMar w:top="1360" w:bottom="280" w:left="1320" w:right="1320"/>
          <w:cols w:num="2" w:equalWidth="0">
            <w:col w:w="1706" w:space="3334"/>
            <w:col w:w="456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59" w:val="left" w:leader="none"/>
        </w:tabs>
        <w:spacing w:before="90"/>
        <w:ind w:left="120"/>
      </w:pPr>
      <w:r>
        <w:rPr/>
        <w:t>TO:</w:t>
        <w:tab/>
        <w:t>Seth</w:t>
      </w:r>
      <w:r>
        <w:rPr>
          <w:spacing w:val="-5"/>
        </w:rPr>
        <w:t> </w:t>
      </w:r>
      <w:r>
        <w:rPr/>
        <w:t>Gilboord</w:t>
      </w:r>
      <w:r>
        <w:rPr>
          <w:spacing w:val="-5"/>
        </w:rPr>
        <w:t> </w:t>
      </w:r>
      <w:r>
        <w:rPr/>
        <w:t>(</w:t>
      </w:r>
      <w:hyperlink r:id="rId7">
        <w:r>
          <w:rPr>
            <w:color w:val="0000FF"/>
            <w:u w:val="single" w:color="0000FF"/>
          </w:rPr>
          <w:t>sgilboor@MAIL.NYSED.GOV</w:t>
        </w:r>
      </w:hyperlink>
      <w:r>
        <w:rPr/>
        <w:t>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59" w:val="left" w:leader="none"/>
        </w:tabs>
        <w:spacing w:line="480" w:lineRule="auto" w:before="90"/>
        <w:ind w:left="119" w:right="5351"/>
      </w:pPr>
      <w:r>
        <w:rPr/>
        <w:t>FROM:</w:t>
        <w:tab/>
        <w:t>Robert J. Freeman, Director</w:t>
      </w:r>
      <w:r>
        <w:rPr>
          <w:spacing w:val="-57"/>
        </w:rPr>
        <w:t> </w:t>
      </w:r>
      <w:r>
        <w:rPr/>
        <w:t>Dear</w:t>
      </w:r>
      <w:r>
        <w:rPr>
          <w:spacing w:val="-2"/>
        </w:rPr>
        <w:t> </w:t>
      </w:r>
      <w:r>
        <w:rPr/>
        <w:t>Mr. Gilboord:</w:t>
      </w:r>
    </w:p>
    <w:p>
      <w:pPr>
        <w:pStyle w:val="BodyText"/>
        <w:ind w:left="119" w:right="324" w:firstLine="720"/>
      </w:pPr>
      <w:r>
        <w:rPr/>
        <w:t>I have received your letter in which you sought our views concerning the effect of the</w:t>
      </w:r>
      <w:r>
        <w:rPr>
          <w:spacing w:val="1"/>
        </w:rPr>
        <w:t> </w:t>
      </w:r>
      <w:r>
        <w:rPr/>
        <w:t>Non-Profit</w:t>
      </w:r>
      <w:r>
        <w:rPr>
          <w:spacing w:val="-2"/>
        </w:rPr>
        <w:t> </w:t>
      </w:r>
      <w:r>
        <w:rPr/>
        <w:t>Revitalization</w:t>
      </w:r>
      <w:r>
        <w:rPr>
          <w:spacing w:val="-4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2013</w:t>
      </w:r>
      <w:r>
        <w:rPr>
          <w:spacing w:val="-1"/>
        </w:rPr>
        <w:t> </w:t>
      </w:r>
      <w:r>
        <w:rPr/>
        <w:t>(“the</w:t>
      </w:r>
      <w:r>
        <w:rPr>
          <w:spacing w:val="-2"/>
        </w:rPr>
        <w:t> </w:t>
      </w:r>
      <w:r>
        <w:rPr/>
        <w:t>Act”) on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library</w:t>
      </w:r>
      <w:r>
        <w:rPr>
          <w:spacing w:val="-6"/>
        </w:rPr>
        <w:t> </w:t>
      </w:r>
      <w:r>
        <w:rPr/>
        <w:t>boards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trustees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57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to comply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Open Meetings</w:t>
      </w:r>
      <w:r>
        <w:rPr>
          <w:spacing w:val="2"/>
        </w:rPr>
        <w:t> </w:t>
      </w:r>
      <w:r>
        <w:rPr/>
        <w:t>Law</w:t>
      </w:r>
      <w:r>
        <w:rPr>
          <w:spacing w:val="-1"/>
        </w:rPr>
        <w:t> </w:t>
      </w:r>
      <w:r>
        <w:rPr/>
        <w:t>(OML).</w:t>
      </w:r>
    </w:p>
    <w:p>
      <w:pPr>
        <w:pStyle w:val="BodyText"/>
      </w:pPr>
    </w:p>
    <w:p>
      <w:pPr>
        <w:pStyle w:val="BodyText"/>
        <w:ind w:left="119" w:right="236" w:firstLine="720"/>
      </w:pPr>
      <w:r>
        <w:rPr/>
        <w:t>By way of brief background, as you are aware, the OML applies to public bodies, and</w:t>
      </w:r>
      <w:r>
        <w:rPr>
          <w:spacing w:val="1"/>
        </w:rPr>
        <w:t> </w:t>
      </w:r>
      <w:r>
        <w:rPr/>
        <w:t>those entities are generally governmental entities.</w:t>
      </w:r>
      <w:r>
        <w:rPr>
          <w:spacing w:val="1"/>
        </w:rPr>
        <w:t> </w:t>
      </w:r>
      <w:r>
        <w:rPr/>
        <w:t>Many libraries, although characterized as</w:t>
      </w:r>
      <w:r>
        <w:rPr>
          <w:spacing w:val="1"/>
        </w:rPr>
        <w:t> </w:t>
      </w:r>
      <w:r>
        <w:rPr/>
        <w:t>public libraries, are not governmental entities, but rather are not-for-profit corporations.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“association” library, for example, according to §253(2) of the Education Law, “shall be</w:t>
      </w:r>
      <w:r>
        <w:rPr>
          <w:spacing w:val="1"/>
        </w:rPr>
        <w:t> </w:t>
      </w:r>
      <w:r>
        <w:rPr/>
        <w:t>construed to mean a library established and controlled, in whole or in part, by a group of private</w:t>
      </w:r>
      <w:r>
        <w:rPr>
          <w:spacing w:val="-57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close corporation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trustees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will deed of trust…”</w:t>
      </w:r>
      <w:r>
        <w:rPr>
          <w:spacing w:val="1"/>
        </w:rPr>
        <w:t> </w:t>
      </w:r>
      <w:r>
        <w:rPr/>
        <w:t>The same provision states that “the term ‘free’ as applied to a library shall</w:t>
      </w:r>
      <w:r>
        <w:rPr>
          <w:spacing w:val="-57"/>
        </w:rPr>
        <w:t> </w:t>
      </w:r>
      <w:r>
        <w:rPr/>
        <w:t>be construed to mean a library maintained for the benefit and free use on equal terms of all the</w:t>
      </w:r>
      <w:r>
        <w:rPr>
          <w:spacing w:val="1"/>
        </w:rPr>
        <w:t> </w:t>
      </w:r>
      <w:r>
        <w:rPr/>
        <w:t>people of the community in which the library is located.”</w:t>
      </w:r>
      <w:r>
        <w:rPr>
          <w:spacing w:val="1"/>
        </w:rPr>
        <w:t> </w:t>
      </w:r>
      <w:r>
        <w:rPr/>
        <w:t>Those entities, notwithstanding their</w:t>
      </w:r>
      <w:r>
        <w:rPr>
          <w:spacing w:val="1"/>
        </w:rPr>
        <w:t> </w:t>
      </w:r>
      <w:r>
        <w:rPr/>
        <w:t>corporate or non-governmental status, are required to comply with the OML pursuant to §260-a</w:t>
      </w:r>
      <w:r>
        <w:rPr>
          <w:spacing w:val="-57"/>
        </w:rPr>
        <w:t> </w:t>
      </w:r>
      <w:r>
        <w:rPr/>
        <w:t>of the Education Law, which states in relevant part that meetings “of a board of trustees of a</w:t>
      </w:r>
      <w:r>
        <w:rPr>
          <w:spacing w:val="1"/>
        </w:rPr>
        <w:t> </w:t>
      </w:r>
      <w:r>
        <w:rPr/>
        <w:t>public library system, public library or free association library….shall be open to the general</w:t>
      </w:r>
      <w:r>
        <w:rPr>
          <w:spacing w:val="1"/>
        </w:rPr>
        <w:t> </w:t>
      </w:r>
      <w:r>
        <w:rPr/>
        <w:t>public” and that “Such meetings shall be held in conformity with and in pursuance of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seven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officers law”, which</w:t>
      </w:r>
      <w:r>
        <w:rPr>
          <w:spacing w:val="-1"/>
        </w:rPr>
        <w:t> </w:t>
      </w:r>
      <w:r>
        <w:rPr/>
        <w:t>is the</w:t>
      </w:r>
      <w:r>
        <w:rPr>
          <w:spacing w:val="1"/>
        </w:rPr>
        <w:t> </w:t>
      </w:r>
      <w:r>
        <w:rPr/>
        <w:t>OML.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20" w:firstLine="720"/>
      </w:pPr>
      <w:r>
        <w:rPr/>
        <w:t>As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suggested,</w:t>
      </w:r>
      <w:r>
        <w:rPr>
          <w:spacing w:val="-1"/>
        </w:rPr>
        <w:t> </w:t>
      </w:r>
      <w:r>
        <w:rPr/>
        <w:t>various 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became</w:t>
      </w:r>
      <w:r>
        <w:rPr>
          <w:spacing w:val="-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July</w:t>
      </w:r>
      <w:r>
        <w:rPr>
          <w:spacing w:val="-8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57"/>
        </w:rPr>
        <w:t> </w:t>
      </w:r>
      <w:r>
        <w:rPr/>
        <w:t>year,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inconsistent with the</w:t>
      </w:r>
      <w:r>
        <w:rPr>
          <w:spacing w:val="-1"/>
        </w:rPr>
        <w:t> </w:t>
      </w:r>
      <w:r>
        <w:rPr/>
        <w:t>OML.</w:t>
      </w:r>
    </w:p>
    <w:p>
      <w:pPr>
        <w:spacing w:after="0"/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120"/>
      </w:pP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ind w:left="120"/>
      </w:pPr>
      <w:r>
        <w:rPr/>
        <w:t>Page</w:t>
      </w:r>
      <w:r>
        <w:rPr>
          <w:spacing w:val="-3"/>
        </w:rPr>
        <w:t> </w:t>
      </w:r>
      <w:r>
        <w:rPr/>
        <w:t>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9" w:right="84" w:firstLine="720"/>
      </w:pPr>
      <w:r>
        <w:rPr/>
        <w:t>Most significantly, §708(b) of the Not-for-Profit Corporation Law (NPCL) states that a</w:t>
      </w:r>
      <w:r>
        <w:rPr>
          <w:spacing w:val="1"/>
        </w:rPr>
        <w:t> </w:t>
      </w:r>
      <w:r>
        <w:rPr/>
        <w:t>board or committee may, “[u]nless otherwise restricted by the certificate of incorporation or by-</w:t>
      </w:r>
      <w:r>
        <w:rPr>
          <w:spacing w:val="1"/>
        </w:rPr>
        <w:t> </w:t>
      </w:r>
      <w:r>
        <w:rPr/>
        <w:t>laws”, may take action “without a meeting if all members of the board or committee consent to</w:t>
      </w:r>
      <w:r>
        <w:rPr>
          <w:spacing w:val="1"/>
        </w:rPr>
        <w:t> </w:t>
      </w:r>
      <w:r>
        <w:rPr/>
        <w:t>the adoption of a resolution authorizing the action”, and that “consent may be written or</w:t>
      </w:r>
      <w:r>
        <w:rPr>
          <w:spacing w:val="1"/>
        </w:rPr>
        <w:t> </w:t>
      </w:r>
      <w:r>
        <w:rPr/>
        <w:t>electronic.”</w:t>
      </w:r>
      <w:r>
        <w:rPr>
          <w:spacing w:val="57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(c)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states that</w:t>
      </w:r>
      <w:r>
        <w:rPr>
          <w:spacing w:val="-1"/>
        </w:rPr>
        <w:t> </w:t>
      </w:r>
      <w:r>
        <w:rPr/>
        <w:t>“any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more members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57"/>
        </w:rPr>
        <w:t> </w:t>
      </w:r>
      <w:r>
        <w:rPr/>
        <w:t>or any committee thereof who is not physically present at a meeting of the board or a committee</w:t>
      </w:r>
      <w:r>
        <w:rPr>
          <w:spacing w:val="1"/>
        </w:rPr>
        <w:t> </w:t>
      </w:r>
      <w:r>
        <w:rPr/>
        <w:t>may participate by means of a conference telephone or similar communication equipment or by</w:t>
      </w:r>
      <w:r>
        <w:rPr>
          <w:spacing w:val="1"/>
        </w:rPr>
        <w:t> </w:t>
      </w:r>
      <w:r>
        <w:rPr/>
        <w:t>electronic video screen communication”, and that “[p]articipation by such means shall constitute</w:t>
      </w:r>
      <w:r>
        <w:rPr>
          <w:spacing w:val="1"/>
        </w:rPr>
        <w:t> </w:t>
      </w:r>
      <w:r>
        <w:rPr/>
        <w:t>presence in person as long as all persons participating in the meeting can hear each other at the</w:t>
      </w:r>
      <w:r>
        <w:rPr>
          <w:spacing w:val="1"/>
        </w:rPr>
        <w:t> </w:t>
      </w:r>
      <w:r>
        <w:rPr/>
        <w:t>same</w:t>
      </w:r>
      <w:r>
        <w:rPr>
          <w:spacing w:val="-2"/>
        </w:rPr>
        <w:t> </w:t>
      </w:r>
      <w:r>
        <w:rPr/>
        <w:t>time…”</w:t>
      </w:r>
    </w:p>
    <w:p>
      <w:pPr>
        <w:pStyle w:val="BodyText"/>
      </w:pPr>
    </w:p>
    <w:p>
      <w:pPr>
        <w:pStyle w:val="BodyText"/>
        <w:ind w:left="120" w:right="261" w:firstLine="720"/>
      </w:pPr>
      <w:r>
        <w:rPr/>
        <w:t>For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ensuing</w:t>
      </w:r>
      <w:r>
        <w:rPr>
          <w:spacing w:val="-4"/>
        </w:rPr>
        <w:t> </w:t>
      </w:r>
      <w:r>
        <w:rPr/>
        <w:t>remarks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 consideration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clear</w:t>
      </w:r>
      <w:r>
        <w:rPr>
          <w:spacing w:val="-1"/>
        </w:rPr>
        <w:t> </w:t>
      </w:r>
      <w:r>
        <w:rPr/>
        <w:t>intent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§260-a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the Education Law, the phrase “public body” as it appears in the OML will be construed to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library</w:t>
      </w:r>
      <w:r>
        <w:rPr>
          <w:spacing w:val="-5"/>
        </w:rPr>
        <w:t> </w:t>
      </w:r>
      <w:r>
        <w:rPr/>
        <w:t>boards subject to §260-a.</w:t>
      </w:r>
    </w:p>
    <w:p>
      <w:pPr>
        <w:pStyle w:val="BodyText"/>
        <w:spacing w:before="5"/>
      </w:pPr>
    </w:p>
    <w:p>
      <w:pPr>
        <w:pStyle w:val="BodyText"/>
        <w:ind w:left="120" w:right="116" w:firstLine="720"/>
        <w:jc w:val="both"/>
      </w:pPr>
      <w:r>
        <w:rPr/>
        <w:t>Based on the language of the OML and judicial precedent, members of entities subject to</w:t>
      </w:r>
      <w:r>
        <w:rPr>
          <w:spacing w:val="1"/>
        </w:rPr>
        <w:t> </w:t>
      </w:r>
      <w:r>
        <w:rPr/>
        <w:t>that statute may not vote by phone or written communication, such as a written proxy or via</w:t>
      </w:r>
      <w:r>
        <w:rPr>
          <w:spacing w:val="1"/>
        </w:rPr>
        <w:t> </w:t>
      </w:r>
      <w:r>
        <w:rPr/>
        <w:t>email.</w:t>
      </w:r>
    </w:p>
    <w:p>
      <w:pPr>
        <w:pStyle w:val="BodyText"/>
        <w:spacing w:before="2"/>
      </w:pPr>
    </w:p>
    <w:p>
      <w:pPr>
        <w:pStyle w:val="BodyText"/>
        <w:ind w:left="120" w:right="118" w:firstLine="720"/>
        <w:jc w:val="both"/>
      </w:pPr>
      <w:r>
        <w:rPr/>
        <w:t>By way of background, as amended in 2000, §102(1) of the Open Meetings Law defines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“meeting”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convening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videoconferencing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participation</w:t>
      </w:r>
      <w:r>
        <w:rPr>
          <w:spacing w:val="14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members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public</w:t>
      </w:r>
      <w:r>
        <w:rPr>
          <w:spacing w:val="13"/>
        </w:rPr>
        <w:t> </w:t>
      </w:r>
      <w:r>
        <w:rPr/>
        <w:t>body.”</w:t>
      </w:r>
      <w:r>
        <w:rPr>
          <w:spacing w:val="15"/>
        </w:rPr>
        <w:t> </w:t>
      </w:r>
      <w:r>
        <w:rPr/>
        <w:t>Based</w:t>
      </w:r>
      <w:r>
        <w:rPr>
          <w:spacing w:val="14"/>
        </w:rPr>
        <w:t> </w:t>
      </w:r>
      <w:r>
        <w:rPr/>
        <w:t>upon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ordinary</w:t>
      </w:r>
      <w:r>
        <w:rPr>
          <w:spacing w:val="12"/>
        </w:rPr>
        <w:t> </w:t>
      </w:r>
      <w:r>
        <w:rPr/>
        <w:t>dictionary</w:t>
      </w:r>
      <w:r>
        <w:rPr>
          <w:spacing w:val="9"/>
        </w:rPr>
        <w:t> </w:t>
      </w:r>
      <w:r>
        <w:rPr/>
        <w:t>definition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“convene”, that term</w:t>
      </w:r>
      <w:r>
        <w:rPr>
          <w:spacing w:val="2"/>
        </w:rPr>
        <w:t> </w:t>
      </w:r>
      <w:r>
        <w:rPr/>
        <w:t>means:</w:t>
      </w:r>
    </w:p>
    <w:p>
      <w:pPr>
        <w:pStyle w:val="BodyText"/>
        <w:spacing w:before="5"/>
      </w:pPr>
    </w:p>
    <w:p>
      <w:pPr>
        <w:pStyle w:val="BodyText"/>
        <w:ind w:left="1620"/>
      </w:pPr>
      <w:r>
        <w:rPr/>
        <w:t>"1.</w:t>
      </w:r>
      <w:r>
        <w:rPr>
          <w:spacing w:val="-1"/>
        </w:rPr>
        <w:t> </w:t>
      </w:r>
      <w:r>
        <w:rPr/>
        <w:t>to summon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tribunal;</w:t>
      </w:r>
    </w:p>
    <w:p>
      <w:pPr>
        <w:pStyle w:val="BodyText"/>
        <w:spacing w:before="3"/>
      </w:pPr>
    </w:p>
    <w:p>
      <w:pPr>
        <w:pStyle w:val="BodyText"/>
        <w:ind w:left="1560" w:right="1760" w:firstLine="60"/>
      </w:pPr>
      <w:r>
        <w:rPr/>
        <w:t>2. to cause to assemble syn see 'SUMMON'" (Webster's Seventh</w:t>
      </w:r>
      <w:r>
        <w:rPr>
          <w:spacing w:val="-58"/>
        </w:rPr>
        <w:t> </w:t>
      </w:r>
      <w:r>
        <w:rPr/>
        <w:t>New</w:t>
      </w:r>
      <w:r>
        <w:rPr>
          <w:spacing w:val="-2"/>
        </w:rPr>
        <w:t> </w:t>
      </w:r>
      <w:r>
        <w:rPr/>
        <w:t>Collegiate</w:t>
      </w:r>
      <w:r>
        <w:rPr>
          <w:spacing w:val="-1"/>
        </w:rPr>
        <w:t> </w:t>
      </w:r>
      <w:r>
        <w:rPr/>
        <w:t>Dictionary,</w:t>
      </w:r>
      <w:r>
        <w:rPr>
          <w:spacing w:val="-1"/>
        </w:rPr>
        <w:t> </w:t>
      </w:r>
      <w:r>
        <w:rPr/>
        <w:t>Copyright 1965).</w:t>
      </w:r>
    </w:p>
    <w:p>
      <w:pPr>
        <w:pStyle w:val="BodyText"/>
        <w:spacing w:before="4"/>
      </w:pPr>
    </w:p>
    <w:p>
      <w:pPr>
        <w:pStyle w:val="BodyText"/>
        <w:spacing w:before="1"/>
        <w:ind w:left="120" w:right="117" w:firstLine="720"/>
        <w:jc w:val="both"/>
      </w:pPr>
      <w:r>
        <w:rPr/>
        <w:t>In view of that definition and others, I believe that a meeting, i.e., the "convening" of a</w:t>
      </w:r>
      <w:r>
        <w:rPr>
          <w:spacing w:val="1"/>
        </w:rPr>
        <w:t> </w:t>
      </w:r>
      <w:r>
        <w:rPr/>
        <w:t>public body, involves the physical coming together of at least a majority of the total membership</w:t>
      </w:r>
      <w:r>
        <w:rPr>
          <w:spacing w:val="1"/>
        </w:rPr>
        <w:t> </w:t>
      </w:r>
      <w:r>
        <w:rPr/>
        <w:t>of</w:t>
      </w:r>
      <w:r>
        <w:rPr>
          <w:spacing w:val="39"/>
        </w:rPr>
        <w:t> </w:t>
      </w:r>
      <w:r>
        <w:rPr/>
        <w:t>such</w:t>
      </w:r>
      <w:r>
        <w:rPr>
          <w:spacing w:val="42"/>
        </w:rPr>
        <w:t> </w:t>
      </w:r>
      <w:r>
        <w:rPr/>
        <w:t>a</w:t>
      </w:r>
      <w:r>
        <w:rPr>
          <w:spacing w:val="39"/>
        </w:rPr>
        <w:t> </w:t>
      </w:r>
      <w:r>
        <w:rPr/>
        <w:t>body,</w:t>
      </w:r>
      <w:r>
        <w:rPr>
          <w:spacing w:val="39"/>
        </w:rPr>
        <w:t> </w:t>
      </w:r>
      <w:r>
        <w:rPr/>
        <w:t>or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convening</w:t>
      </w:r>
      <w:r>
        <w:rPr>
          <w:spacing w:val="37"/>
        </w:rPr>
        <w:t> </w:t>
      </w:r>
      <w:r>
        <w:rPr/>
        <w:t>that</w:t>
      </w:r>
      <w:r>
        <w:rPr>
          <w:spacing w:val="41"/>
        </w:rPr>
        <w:t> </w:t>
      </w:r>
      <w:r>
        <w:rPr/>
        <w:t>occurs</w:t>
      </w:r>
      <w:r>
        <w:rPr>
          <w:spacing w:val="40"/>
        </w:rPr>
        <w:t> </w:t>
      </w:r>
      <w:r>
        <w:rPr/>
        <w:t>through</w:t>
      </w:r>
      <w:r>
        <w:rPr>
          <w:spacing w:val="40"/>
        </w:rPr>
        <w:t> </w:t>
      </w:r>
      <w:r>
        <w:rPr/>
        <w:t>videoconferencing.</w:t>
      </w:r>
      <w:r>
        <w:rPr>
          <w:spacing w:val="44"/>
        </w:rPr>
        <w:t> </w:t>
      </w:r>
      <w:r>
        <w:rPr/>
        <w:t>I</w:t>
      </w:r>
      <w:r>
        <w:rPr>
          <w:spacing w:val="39"/>
        </w:rPr>
        <w:t> </w:t>
      </w:r>
      <w:r>
        <w:rPr/>
        <w:t>point</w:t>
      </w:r>
      <w:r>
        <w:rPr>
          <w:spacing w:val="41"/>
        </w:rPr>
        <w:t> </w:t>
      </w:r>
      <w:r>
        <w:rPr/>
        <w:t>out,</w:t>
      </w:r>
      <w:r>
        <w:rPr>
          <w:spacing w:val="39"/>
        </w:rPr>
        <w:t> </w:t>
      </w:r>
      <w:r>
        <w:rPr/>
        <w:t>too,</w:t>
      </w:r>
      <w:r>
        <w:rPr>
          <w:spacing w:val="40"/>
        </w:rPr>
        <w:t> </w:t>
      </w:r>
      <w:r>
        <w:rPr/>
        <w:t>that</w:t>
      </w:r>
    </w:p>
    <w:p>
      <w:pPr>
        <w:pStyle w:val="BodyText"/>
        <w:ind w:left="120" w:right="119"/>
        <w:jc w:val="both"/>
      </w:pPr>
      <w:r>
        <w:rPr/>
        <w:t>§103(c) of the Open Meetings Law states that “A public body that uses videoconferencing to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provide an opportunity to attend, listen and observe at</w:t>
      </w:r>
      <w:r>
        <w:rPr>
          <w:spacing w:val="60"/>
        </w:rPr>
        <w:t> </w:t>
      </w:r>
      <w:r>
        <w:rPr/>
        <w:t>any site at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participates.”</w:t>
      </w:r>
    </w:p>
    <w:p>
      <w:pPr>
        <w:pStyle w:val="BodyText"/>
        <w:spacing w:before="4"/>
      </w:pPr>
    </w:p>
    <w:p>
      <w:pPr>
        <w:pStyle w:val="BodyText"/>
        <w:spacing w:before="1"/>
        <w:ind w:left="120" w:right="117" w:firstLine="720"/>
        <w:jc w:val="both"/>
      </w:pPr>
      <w:r>
        <w:rPr/>
        <w:t>The amendments to the Open Meetings Law in my view clearly indicate that there are</w:t>
      </w:r>
      <w:r>
        <w:rPr>
          <w:spacing w:val="1"/>
        </w:rPr>
        <w:t> </w:t>
      </w:r>
      <w:r>
        <w:rPr/>
        <w:t>only two ways in which the members of a public body may cast votes or validly conduct a</w:t>
      </w:r>
      <w:r>
        <w:rPr>
          <w:spacing w:val="1"/>
        </w:rPr>
        <w:t> </w:t>
      </w:r>
      <w:r>
        <w:rPr/>
        <w:t>meeting. Any other means of conducting a meeting or voting, i.e., by telephone, by mail, or by e-</w:t>
      </w:r>
      <w:r>
        <w:rPr>
          <w:spacing w:val="-57"/>
        </w:rPr>
        <w:t> </w:t>
      </w:r>
      <w:r>
        <w:rPr/>
        <w:t>mail,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inconsistent with law.</w:t>
      </w:r>
    </w:p>
    <w:p>
      <w:pPr>
        <w:spacing w:after="0"/>
        <w:jc w:val="both"/>
        <w:sectPr>
          <w:pgSz w:w="12240" w:h="15840"/>
          <w:pgMar w:top="15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0"/>
        <w:ind w:left="120"/>
      </w:pP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ind w:left="120"/>
      </w:pPr>
      <w:r>
        <w:rPr/>
        <w:t>Page</w:t>
      </w:r>
      <w:r>
        <w:rPr>
          <w:spacing w:val="-3"/>
        </w:rPr>
        <w:t> </w:t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 w:right="209" w:firstLine="720"/>
      </w:pPr>
      <w:r>
        <w:rPr/>
        <w:t>As indicated above, the definition of the phrase “public body” refers to entities that are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conduct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means of a quorum. The</w:t>
      </w:r>
      <w:r>
        <w:rPr>
          <w:spacing w:val="-2"/>
        </w:rPr>
        <w:t> </w:t>
      </w:r>
      <w:r>
        <w:rPr/>
        <w:t>term</w:t>
      </w:r>
      <w:r>
        <w:rPr>
          <w:spacing w:val="1"/>
        </w:rPr>
        <w:t> </w:t>
      </w:r>
      <w:r>
        <w:rPr/>
        <w:t>"quorum"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§41</w:t>
      </w:r>
      <w:r>
        <w:rPr>
          <w:spacing w:val="-57"/>
        </w:rPr>
        <w:t> </w:t>
      </w:r>
      <w:r>
        <w:rPr/>
        <w:t>of the General Construction Law, which has been in effect since 1909. The cited provision,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amended</w:t>
      </w:r>
      <w:r>
        <w:rPr>
          <w:spacing w:val="1"/>
        </w:rPr>
        <w:t> </w:t>
      </w:r>
      <w:r>
        <w:rPr/>
        <w:t>to include</w:t>
      </w:r>
      <w:r>
        <w:rPr>
          <w:spacing w:val="-2"/>
        </w:rPr>
        <w:t> </w:t>
      </w:r>
      <w:r>
        <w:rPr/>
        <w:t>language concerning</w:t>
      </w:r>
      <w:r>
        <w:rPr>
          <w:spacing w:val="-4"/>
        </w:rPr>
        <w:t> </w:t>
      </w:r>
      <w:r>
        <w:rPr/>
        <w:t>videoconferencing, states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5"/>
      </w:pPr>
    </w:p>
    <w:p>
      <w:pPr>
        <w:pStyle w:val="BodyText"/>
        <w:ind w:left="1560" w:right="1555" w:firstLine="60"/>
      </w:pPr>
      <w:r>
        <w:rPr/>
        <w:t>"Whenever three of more public officers are given any power or</w:t>
      </w:r>
      <w:r>
        <w:rPr>
          <w:spacing w:val="1"/>
        </w:rPr>
        <w:t> </w:t>
      </w:r>
      <w:r>
        <w:rPr/>
        <w:t>authority, or three or more persons are charged with any public</w:t>
      </w:r>
      <w:r>
        <w:rPr>
          <w:spacing w:val="1"/>
        </w:rPr>
        <w:t> </w:t>
      </w:r>
      <w:r>
        <w:rPr/>
        <w:t>duty to be performed or exercised by them jointly or as a board or</w:t>
      </w:r>
      <w:r>
        <w:rPr>
          <w:spacing w:val="1"/>
        </w:rPr>
        <w:t> </w:t>
      </w:r>
      <w:r>
        <w:rPr/>
        <w:t>similar body, a majority of the whole number of such persons or</w:t>
      </w:r>
      <w:r>
        <w:rPr>
          <w:spacing w:val="1"/>
        </w:rPr>
        <w:t> </w:t>
      </w:r>
      <w:r>
        <w:rPr/>
        <w:t>officers, gathered together in the presence of each other or through</w:t>
      </w:r>
      <w:r>
        <w:rPr>
          <w:spacing w:val="1"/>
        </w:rPr>
        <w:t> </w:t>
      </w:r>
      <w:r>
        <w:rPr/>
        <w:t>the use of videoconferencing, at a meeting duly held at a time fixed</w:t>
      </w:r>
      <w:r>
        <w:rPr>
          <w:spacing w:val="-57"/>
        </w:rPr>
        <w:t> </w:t>
      </w:r>
      <w:r>
        <w:rPr/>
        <w:t>by law, or by any by-law duly adopted by such board of body, or at</w:t>
      </w:r>
      <w:r>
        <w:rPr>
          <w:spacing w:val="-57"/>
        </w:rPr>
        <w:t> </w:t>
      </w:r>
      <w:r>
        <w:rPr/>
        <w:t>any duly adjourned meeting of such meeting, or at any meeting</w:t>
      </w:r>
      <w:r>
        <w:rPr>
          <w:spacing w:val="1"/>
        </w:rPr>
        <w:t> </w:t>
      </w:r>
      <w:r>
        <w:rPr/>
        <w:t>duly held upon reasonable notice to all of them, shall constitute a</w:t>
      </w:r>
      <w:r>
        <w:rPr>
          <w:spacing w:val="1"/>
        </w:rPr>
        <w:t> </w:t>
      </w:r>
      <w:r>
        <w:rPr/>
        <w:t>quorum and not less than a majority of the whole number may</w:t>
      </w:r>
      <w:r>
        <w:rPr>
          <w:spacing w:val="1"/>
        </w:rPr>
        <w:t> </w:t>
      </w:r>
      <w:r>
        <w:rPr/>
        <w:t>perform and exercise such power, authority or duty. For the</w:t>
      </w:r>
      <w:r>
        <w:rPr>
          <w:spacing w:val="1"/>
        </w:rPr>
        <w:t> </w:t>
      </w:r>
      <w:r>
        <w:rPr/>
        <w:t>purpose of this provision the words 'whole number' shall be</w:t>
      </w:r>
      <w:r>
        <w:rPr>
          <w:spacing w:val="1"/>
        </w:rPr>
        <w:t> </w:t>
      </w:r>
      <w:r>
        <w:rPr/>
        <w:t>construed to mean the total number which the board, commission,</w:t>
      </w:r>
      <w:r>
        <w:rPr>
          <w:spacing w:val="1"/>
        </w:rPr>
        <w:t> </w:t>
      </w:r>
      <w:r>
        <w:rPr/>
        <w:t>body or other group of persons or officers would have were there</w:t>
      </w:r>
      <w:r>
        <w:rPr>
          <w:spacing w:val="1"/>
        </w:rPr>
        <w:t> </w:t>
      </w:r>
      <w:r>
        <w:rPr/>
        <w:t>no vacancies and were none of the persons or officers disqualified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acting."</w:t>
      </w:r>
    </w:p>
    <w:p>
      <w:pPr>
        <w:pStyle w:val="BodyText"/>
        <w:spacing w:before="3"/>
      </w:pPr>
    </w:p>
    <w:p>
      <w:pPr>
        <w:pStyle w:val="BodyText"/>
        <w:ind w:left="120" w:right="113" w:firstLine="720"/>
        <w:jc w:val="both"/>
      </w:pPr>
      <w:r>
        <w:rPr/>
        <w:t>Based</w:t>
      </w:r>
      <w:r>
        <w:rPr>
          <w:spacing w:val="1"/>
        </w:rPr>
        <w:t> </w:t>
      </w:r>
      <w:r>
        <w:rPr/>
        <w:t>on the foregoing, again,</w:t>
      </w:r>
      <w:r>
        <w:rPr>
          <w:spacing w:val="1"/>
        </w:rPr>
        <w:t> </w:t>
      </w:r>
      <w:r>
        <w:rPr/>
        <w:t>voting and</w:t>
      </w:r>
      <w:r>
        <w:rPr>
          <w:spacing w:val="1"/>
        </w:rPr>
        <w:t> </w:t>
      </w:r>
      <w:r>
        <w:rPr/>
        <w:t>a valid meeting may occur</w:t>
      </w:r>
      <w:r>
        <w:rPr>
          <w:spacing w:val="1"/>
        </w:rPr>
        <w:t> </w:t>
      </w:r>
      <w:r>
        <w:rPr/>
        <w:t>only when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majority of the total membership of a public body, a quorum, has “gathered together in the</w:t>
      </w:r>
      <w:r>
        <w:rPr>
          <w:spacing w:val="1"/>
        </w:rPr>
        <w:t> </w:t>
      </w:r>
      <w:r>
        <w:rPr/>
        <w:t>presence of each other or through the use of videoconferencing.” Only when a quorum has</w:t>
      </w:r>
      <w:r>
        <w:rPr>
          <w:spacing w:val="1"/>
        </w:rPr>
        <w:t> </w:t>
      </w:r>
      <w:r>
        <w:rPr/>
        <w:t>convened in the manner described in §41 of the General Construction Law would a public body</w:t>
      </w:r>
      <w:r>
        <w:rPr>
          <w:spacing w:val="1"/>
        </w:rPr>
        <w:t> </w:t>
      </w:r>
      <w:r>
        <w:rPr/>
        <w:t>have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to</w:t>
      </w:r>
      <w:r>
        <w:rPr>
          <w:spacing w:val="12"/>
        </w:rPr>
        <w:t> </w:t>
      </w:r>
      <w:r>
        <w:rPr/>
        <w:t>carry</w:t>
      </w:r>
      <w:r>
        <w:rPr>
          <w:spacing w:val="6"/>
        </w:rPr>
        <w:t> </w:t>
      </w:r>
      <w:r>
        <w:rPr/>
        <w:t>out</w:t>
      </w:r>
      <w:r>
        <w:rPr>
          <w:spacing w:val="10"/>
        </w:rPr>
        <w:t> </w:t>
      </w:r>
      <w:r>
        <w:rPr/>
        <w:t>its</w:t>
      </w:r>
      <w:r>
        <w:rPr>
          <w:spacing w:val="8"/>
        </w:rPr>
        <w:t> </w:t>
      </w:r>
      <w:r>
        <w:rPr/>
        <w:t>powers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duties.</w:t>
      </w:r>
      <w:r>
        <w:rPr>
          <w:spacing w:val="8"/>
        </w:rPr>
        <w:t> </w:t>
      </w:r>
      <w:r>
        <w:rPr/>
        <w:t>Consequently,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my</w:t>
      </w:r>
      <w:r>
        <w:rPr>
          <w:spacing w:val="6"/>
        </w:rPr>
        <w:t> </w:t>
      </w:r>
      <w:r>
        <w:rPr/>
        <w:t>opinion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neither</w:t>
      </w:r>
      <w:r>
        <w:rPr>
          <w:spacing w:val="-58"/>
        </w:rPr>
        <w:t> </w:t>
      </w:r>
      <w:r>
        <w:rPr/>
        <w:t>a public body nor its members individually may take action or vote by means of telephone calls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e-mail.</w:t>
      </w:r>
    </w:p>
    <w:p>
      <w:pPr>
        <w:pStyle w:val="BodyText"/>
        <w:spacing w:before="5"/>
      </w:pPr>
    </w:p>
    <w:p>
      <w:pPr>
        <w:pStyle w:val="BodyText"/>
        <w:ind w:left="120" w:right="120" w:firstLine="722"/>
        <w:jc w:val="both"/>
      </w:pPr>
      <w:r>
        <w:rPr/>
        <w:t>In an early decision dealing with a vote taken by phone, the court found the vote to be a</w:t>
      </w:r>
      <w:r>
        <w:rPr>
          <w:spacing w:val="1"/>
        </w:rPr>
        <w:t> </w:t>
      </w:r>
      <w:r>
        <w:rPr/>
        <w:t>nullity. In </w:t>
      </w:r>
      <w:r>
        <w:rPr>
          <w:u w:val="single"/>
        </w:rPr>
        <w:t>Cheevers v. Town of Union</w:t>
      </w:r>
      <w:r>
        <w:rPr/>
        <w:t> (Supreme Court, Broome County, September 3, 1998),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cited and relied</w:t>
      </w:r>
      <w:r>
        <w:rPr>
          <w:spacing w:val="-1"/>
        </w:rPr>
        <w:t> </w:t>
      </w:r>
      <w:r>
        <w:rPr/>
        <w:t>upon an opinion</w:t>
      </w:r>
      <w:r>
        <w:rPr>
          <w:spacing w:val="-1"/>
        </w:rPr>
        <w:t> </w:t>
      </w:r>
      <w:r>
        <w:rPr/>
        <w:t>rendered by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office, the</w:t>
      </w:r>
      <w:r>
        <w:rPr>
          <w:spacing w:val="-1"/>
        </w:rPr>
        <w:t> </w:t>
      </w:r>
      <w:r>
        <w:rPr/>
        <w:t>court stated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4"/>
      </w:pPr>
    </w:p>
    <w:p>
      <w:pPr>
        <w:pStyle w:val="BodyText"/>
        <w:spacing w:before="1"/>
        <w:ind w:left="840" w:right="116"/>
        <w:jc w:val="both"/>
      </w:pPr>
      <w:r>
        <w:rPr/>
        <w:t>“...there is a question as to whether the series of telephone calls among the individual</w:t>
      </w:r>
      <w:r>
        <w:rPr>
          <w:spacing w:val="1"/>
        </w:rPr>
        <w:t> </w:t>
      </w:r>
      <w:r>
        <w:rPr/>
        <w:t>members constitutes a meeting which would be subject to the Open Meetings Law. A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‘the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convening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conducting</w:t>
      </w:r>
      <w:r>
        <w:rPr>
          <w:spacing w:val="38"/>
        </w:rPr>
        <w:t> </w:t>
      </w:r>
      <w:r>
        <w:rPr/>
        <w:t>public</w:t>
      </w:r>
      <w:r>
        <w:rPr>
          <w:spacing w:val="39"/>
        </w:rPr>
        <w:t> </w:t>
      </w:r>
      <w:r>
        <w:rPr/>
        <w:t>business’</w:t>
      </w:r>
      <w:r>
        <w:rPr>
          <w:spacing w:val="40"/>
        </w:rPr>
        <w:t> </w:t>
      </w:r>
      <w:r>
        <w:rPr/>
        <w:t>(Public</w:t>
      </w:r>
      <w:r>
        <w:rPr>
          <w:spacing w:val="39"/>
        </w:rPr>
        <w:t> </w:t>
      </w:r>
      <w:r>
        <w:rPr/>
        <w:t>Officers</w:t>
      </w:r>
      <w:r>
        <w:rPr>
          <w:spacing w:val="43"/>
        </w:rPr>
        <w:t> </w:t>
      </w:r>
      <w:r>
        <w:rPr/>
        <w:t>Law</w:t>
      </w:r>
      <w:r>
        <w:rPr>
          <w:spacing w:val="40"/>
        </w:rPr>
        <w:t> </w:t>
      </w:r>
      <w:r>
        <w:rPr/>
        <w:t>§102[1]).</w:t>
      </w:r>
      <w:r>
        <w:rPr>
          <w:spacing w:val="40"/>
        </w:rPr>
        <w:t> </w:t>
      </w:r>
      <w:r>
        <w:rPr/>
        <w:t>Although</w:t>
      </w:r>
      <w:r>
        <w:rPr>
          <w:spacing w:val="40"/>
        </w:rPr>
        <w:t> </w:t>
      </w:r>
      <w:r>
        <w:rPr/>
        <w:t>‘not</w:t>
      </w:r>
      <w:r>
        <w:rPr>
          <w:spacing w:val="41"/>
        </w:rPr>
        <w:t> </w:t>
      </w:r>
      <w:r>
        <w:rPr/>
        <w:t>every</w:t>
      </w:r>
    </w:p>
    <w:p>
      <w:pPr>
        <w:spacing w:after="0"/>
        <w:jc w:val="both"/>
        <w:sectPr>
          <w:pgSz w:w="12240" w:h="15840"/>
          <w:pgMar w:top="1500" w:bottom="280" w:left="1320" w:right="1320"/>
        </w:sectPr>
      </w:pPr>
    </w:p>
    <w:p>
      <w:pPr>
        <w:pStyle w:val="BodyText"/>
        <w:spacing w:before="72"/>
        <w:ind w:left="840" w:right="120"/>
        <w:jc w:val="both"/>
      </w:pPr>
      <w:r>
        <w:rPr/>
        <w:t>assembling of the members of a public body was intended to fall within the scope of the</w:t>
      </w:r>
      <w:r>
        <w:rPr>
          <w:spacing w:val="1"/>
        </w:rPr>
        <w:t> </w:t>
      </w:r>
      <w:r>
        <w:rPr/>
        <w:t>Open Meetings Law [such as casual encounters by members], ***informal conferences,</w:t>
      </w:r>
      <w:r>
        <w:rPr>
          <w:spacing w:val="1"/>
        </w:rPr>
        <w:t> </w:t>
      </w:r>
      <w:r>
        <w:rPr/>
        <w:t>agenda sessions and work sessions to invoke the provisions of the statute when a quorum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present and when</w:t>
      </w:r>
    </w:p>
    <w:p>
      <w:pPr>
        <w:pStyle w:val="BodyText"/>
        <w:spacing w:before="4"/>
      </w:pPr>
    </w:p>
    <w:p>
      <w:pPr>
        <w:pStyle w:val="BodyText"/>
        <w:spacing w:before="1"/>
        <w:ind w:left="120"/>
      </w:pP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ind w:left="120"/>
      </w:pPr>
      <w:r>
        <w:rPr/>
        <w:t>Page</w:t>
      </w:r>
      <w:r>
        <w:rPr>
          <w:spacing w:val="-3"/>
        </w:rPr>
        <w:t> </w:t>
      </w:r>
      <w:r>
        <w:rPr/>
        <w:t>4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840" w:right="118"/>
        <w:jc w:val="both"/>
      </w:pPr>
      <w:r>
        <w:rPr/>
        <w:t>the topics for discussion and decision are such as would otherwise arise at a regular</w:t>
      </w:r>
      <w:r>
        <w:rPr>
          <w:spacing w:val="1"/>
        </w:rPr>
        <w:t> </w:t>
      </w:r>
      <w:r>
        <w:rPr/>
        <w:t>meeting’ (Matter of Goodson Todman Enter. v. City of Kingston Common Council, 153</w:t>
      </w:r>
      <w:r>
        <w:rPr>
          <w:spacing w:val="1"/>
        </w:rPr>
        <w:t> </w:t>
      </w:r>
      <w:r>
        <w:rPr/>
        <w:t>AD2d 103, 105). Peripheral discussions concerning an item of public business are subject</w:t>
      </w:r>
      <w:r>
        <w:rPr>
          <w:spacing w:val="-57"/>
        </w:rPr>
        <w:t> </w:t>
      </w:r>
      <w:r>
        <w:rPr/>
        <w:t>to the provisions of the statute in the same manner was formal votes (see, Matter of</w:t>
      </w:r>
      <w:r>
        <w:rPr>
          <w:spacing w:val="1"/>
        </w:rPr>
        <w:t> </w:t>
      </w:r>
      <w:r>
        <w:rPr/>
        <w:t>Orange County Publs. v. Council of City of Newburgh, 60 AD2d 309, 415 Affd 45 NY2d</w:t>
      </w:r>
      <w:r>
        <w:rPr>
          <w:spacing w:val="-57"/>
        </w:rPr>
        <w:t> </w:t>
      </w:r>
      <w:r>
        <w:rPr/>
        <w:t>947).</w:t>
      </w:r>
    </w:p>
    <w:p>
      <w:pPr>
        <w:pStyle w:val="BodyText"/>
        <w:spacing w:before="3"/>
      </w:pPr>
    </w:p>
    <w:p>
      <w:pPr>
        <w:pStyle w:val="BodyText"/>
        <w:ind w:left="1560" w:right="1601" w:firstLine="60"/>
      </w:pPr>
      <w:r>
        <w:rPr/>
        <w:t>“The issue was the Town’s policy concerning tax assessment</w:t>
      </w:r>
      <w:r>
        <w:rPr>
          <w:spacing w:val="1"/>
        </w:rPr>
        <w:t> </w:t>
      </w:r>
      <w:r>
        <w:rPr/>
        <w:t>reductions, clearly a matter of public business. There was no</w:t>
      </w:r>
      <w:r>
        <w:rPr>
          <w:spacing w:val="1"/>
        </w:rPr>
        <w:t> </w:t>
      </w:r>
      <w:r>
        <w:rPr/>
        <w:t>physical gathering, but four members of the five member board</w:t>
      </w:r>
      <w:r>
        <w:rPr>
          <w:spacing w:val="1"/>
        </w:rPr>
        <w:t> </w:t>
      </w:r>
      <w:r>
        <w:rPr/>
        <w:t>discussed the issue in a series of telephone calls. As a result, a</w:t>
      </w:r>
      <w:r>
        <w:rPr>
          <w:spacing w:val="1"/>
        </w:rPr>
        <w:t> </w:t>
      </w:r>
      <w:r>
        <w:rPr/>
        <w:t>quorum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‘present’ and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publish the Dear Resident article. The failure to actually meet in</w:t>
      </w:r>
      <w:r>
        <w:rPr>
          <w:spacing w:val="1"/>
        </w:rPr>
        <w:t> </w:t>
      </w:r>
      <w:r>
        <w:rPr/>
        <w:t>person or have</w:t>
      </w:r>
      <w:r>
        <w:rPr>
          <w:spacing w:val="-1"/>
        </w:rPr>
        <w:t> </w:t>
      </w:r>
      <w:r>
        <w:rPr/>
        <w:t>a telephone</w:t>
      </w:r>
      <w:r>
        <w:rPr>
          <w:spacing w:val="-1"/>
        </w:rPr>
        <w:t> </w:t>
      </w:r>
      <w:r>
        <w:rPr/>
        <w:t>conference in</w:t>
      </w:r>
      <w:r>
        <w:rPr>
          <w:spacing w:val="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avoid a</w:t>
      </w:r>
      <w:r>
        <w:rPr>
          <w:spacing w:val="1"/>
        </w:rPr>
        <w:t> </w:t>
      </w:r>
      <w:r>
        <w:rPr/>
        <w:t>‘meeting’ circumvents the intent of the Open Meetings Law (see</w:t>
      </w:r>
      <w:r>
        <w:rPr>
          <w:spacing w:val="1"/>
        </w:rPr>
        <w:t> </w:t>
      </w:r>
      <w:r>
        <w:rPr/>
        <w:t>e.g., 1998 Advisory Opns Committee on Open Government 2877).</w:t>
      </w:r>
      <w:r>
        <w:rPr>
          <w:spacing w:val="-57"/>
        </w:rPr>
        <w:t> </w:t>
      </w:r>
      <w:r>
        <w:rPr/>
        <w:t>This court finds that telephonic conferences among the individual</w:t>
      </w:r>
      <w:r>
        <w:rPr>
          <w:spacing w:val="1"/>
        </w:rPr>
        <w:t> </w:t>
      </w:r>
      <w:r>
        <w:rPr/>
        <w:t>members constituted a meeting in violation of the Open Meetings</w:t>
      </w:r>
      <w:r>
        <w:rPr>
          <w:spacing w:val="1"/>
        </w:rPr>
        <w:t> </w:t>
      </w:r>
      <w:r>
        <w:rPr/>
        <w:t>Law...”</w:t>
      </w:r>
    </w:p>
    <w:p>
      <w:pPr>
        <w:pStyle w:val="BodyText"/>
        <w:spacing w:before="3"/>
      </w:pPr>
    </w:p>
    <w:p>
      <w:pPr>
        <w:pStyle w:val="BodyText"/>
        <w:ind w:left="120" w:right="116" w:firstLine="720"/>
        <w:jc w:val="both"/>
      </w:pPr>
      <w:r>
        <w:rPr/>
        <w:t>More recently the Appellate Division nullified action taken by a five person</w:t>
      </w:r>
      <w:r>
        <w:rPr>
          <w:spacing w:val="60"/>
        </w:rPr>
        <w:t> </w:t>
      </w:r>
      <w:r>
        <w:rPr/>
        <w:t>Board, two</w:t>
      </w:r>
      <w:r>
        <w:rPr>
          <w:spacing w:val="1"/>
        </w:rPr>
        <w:t> </w:t>
      </w:r>
      <w:r>
        <w:rPr/>
        <w:t>of whose members could not participate. Two other members met and a third participated by</w:t>
      </w:r>
      <w:r>
        <w:rPr>
          <w:spacing w:val="1"/>
        </w:rPr>
        <w:t> </w:t>
      </w:r>
      <w:r>
        <w:rPr/>
        <w:t>phone. Those three voted, but the Court found that the OML prohibited voting by phone and</w:t>
      </w:r>
      <w:r>
        <w:rPr>
          <w:spacing w:val="1"/>
        </w:rPr>
        <w:t> </w:t>
      </w:r>
      <w:r>
        <w:rPr/>
        <w:t>nullified the action taken [</w:t>
      </w:r>
      <w:r>
        <w:rPr>
          <w:u w:val="single"/>
        </w:rPr>
        <w:t>Town of Eastchester v. NYS Board of Real Property Services</w:t>
      </w:r>
      <w:r>
        <w:rPr/>
        <w:t>, 23</w:t>
      </w:r>
      <w:r>
        <w:rPr>
          <w:spacing w:val="1"/>
        </w:rPr>
        <w:t> </w:t>
      </w:r>
      <w:r>
        <w:rPr/>
        <w:t>AD2d</w:t>
      </w:r>
      <w:r>
        <w:rPr>
          <w:spacing w:val="-1"/>
        </w:rPr>
        <w:t> </w:t>
      </w:r>
      <w:r>
        <w:rPr/>
        <w:t>484 (2005)].</w:t>
      </w:r>
    </w:p>
    <w:p>
      <w:pPr>
        <w:pStyle w:val="BodyText"/>
        <w:spacing w:before="4"/>
      </w:pPr>
    </w:p>
    <w:p>
      <w:pPr>
        <w:pStyle w:val="BodyText"/>
        <w:spacing w:before="1"/>
        <w:ind w:left="120" w:right="118" w:firstLine="780"/>
        <w:jc w:val="both"/>
      </w:pPr>
      <w:r>
        <w:rPr/>
        <w:t>Additionally, I direct your attention to the legislative declaration of the Open Meetings</w:t>
      </w:r>
      <w:r>
        <w:rPr>
          <w:spacing w:val="1"/>
        </w:rPr>
        <w:t> </w:t>
      </w:r>
      <w:r>
        <w:rPr/>
        <w:t>Law,</w:t>
      </w:r>
      <w:r>
        <w:rPr>
          <w:spacing w:val="-1"/>
        </w:rPr>
        <w:t> </w:t>
      </w:r>
      <w:r>
        <w:rPr/>
        <w:t>§100, which states in part that:</w:t>
      </w:r>
    </w:p>
    <w:p>
      <w:pPr>
        <w:pStyle w:val="BodyText"/>
        <w:spacing w:before="4"/>
      </w:pPr>
    </w:p>
    <w:p>
      <w:pPr>
        <w:pStyle w:val="BodyText"/>
        <w:spacing w:before="1"/>
        <w:ind w:left="1560" w:right="1735"/>
      </w:pPr>
      <w:r>
        <w:rPr/>
        <w:t>“It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democratic society</w:t>
      </w:r>
      <w:r>
        <w:rPr>
          <w:spacing w:val="-6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public business be performed in an open and public manner and</w:t>
      </w:r>
      <w:r>
        <w:rPr>
          <w:spacing w:val="1"/>
        </w:rPr>
        <w:t> </w:t>
      </w:r>
      <w:r>
        <w:rPr/>
        <w:t>that the citizens of this state be fully aware of and able to observe</w:t>
      </w:r>
      <w:r>
        <w:rPr>
          <w:spacing w:val="-57"/>
        </w:rPr>
        <w:t> </w:t>
      </w:r>
      <w:r>
        <w:rPr/>
        <w:t>the performance of public officials and attend and listen to the</w:t>
      </w:r>
      <w:r>
        <w:rPr>
          <w:spacing w:val="1"/>
        </w:rPr>
        <w:t> </w:t>
      </w:r>
      <w:r>
        <w:rPr/>
        <w:t>deliberations and decisions that go into the making of public</w:t>
      </w:r>
      <w:r>
        <w:rPr>
          <w:spacing w:val="1"/>
        </w:rPr>
        <w:t> </w:t>
      </w:r>
      <w:r>
        <w:rPr/>
        <w:t>policy.</w:t>
      </w:r>
    </w:p>
    <w:p>
      <w:pPr>
        <w:spacing w:after="0"/>
        <w:sectPr>
          <w:pgSz w:w="12240" w:h="15840"/>
          <w:pgMar w:top="1360" w:bottom="280" w:left="1320" w:right="1320"/>
        </w:sectPr>
      </w:pPr>
    </w:p>
    <w:p>
      <w:pPr>
        <w:pStyle w:val="BodyText"/>
        <w:spacing w:before="72"/>
        <w:ind w:left="120" w:right="116" w:firstLine="720"/>
        <w:jc w:val="both"/>
      </w:pPr>
      <w:r>
        <w:rPr/>
        <w:t>Based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foregoing,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Open</w:t>
      </w:r>
      <w:r>
        <w:rPr>
          <w:spacing w:val="22"/>
        </w:rPr>
        <w:t> </w:t>
      </w:r>
      <w:r>
        <w:rPr/>
        <w:t>Meetings</w:t>
      </w:r>
      <w:r>
        <w:rPr>
          <w:spacing w:val="25"/>
        </w:rPr>
        <w:t> </w:t>
      </w:r>
      <w:r>
        <w:rPr/>
        <w:t>Law</w:t>
      </w:r>
      <w:r>
        <w:rPr>
          <w:spacing w:val="23"/>
        </w:rPr>
        <w:t> </w:t>
      </w:r>
      <w:r>
        <w:rPr/>
        <w:t>is</w:t>
      </w:r>
      <w:r>
        <w:rPr>
          <w:spacing w:val="22"/>
        </w:rPr>
        <w:t> </w:t>
      </w:r>
      <w:r>
        <w:rPr/>
        <w:t>intended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provide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2"/>
        </w:rPr>
        <w:t> </w:t>
      </w:r>
      <w:r>
        <w:rPr/>
        <w:t>with</w:t>
      </w:r>
      <w:r>
        <w:rPr>
          <w:spacing w:val="-58"/>
        </w:rPr>
        <w:t> </w:t>
      </w:r>
      <w:r>
        <w:rPr/>
        <w:t>the right to </w:t>
      </w:r>
      <w:r>
        <w:rPr>
          <w:i/>
        </w:rPr>
        <w:t>observe </w:t>
      </w:r>
      <w:r>
        <w:rPr/>
        <w:t>the performance of public officials in their deliberations. That intent cannot</w:t>
      </w:r>
      <w:r>
        <w:rPr>
          <w:spacing w:val="1"/>
        </w:rPr>
        <w:t> </w:t>
      </w:r>
      <w:r>
        <w:rPr/>
        <w:t>be realized if members of a public body conduct public business as a body or vote by phone, by</w:t>
      </w:r>
      <w:r>
        <w:rPr>
          <w:spacing w:val="1"/>
        </w:rPr>
        <w:t> </w:t>
      </w:r>
      <w:r>
        <w:rPr/>
        <w:t>mail, or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e-mail.</w:t>
      </w:r>
    </w:p>
    <w:p>
      <w:pPr>
        <w:pStyle w:val="BodyText"/>
        <w:spacing w:before="4"/>
      </w:pPr>
    </w:p>
    <w:p>
      <w:pPr>
        <w:pStyle w:val="BodyText"/>
        <w:spacing w:before="1"/>
        <w:ind w:left="120" w:right="120" w:firstLine="720"/>
        <w:jc w:val="both"/>
      </w:pPr>
      <w:r>
        <w:rPr/>
        <w:t>The issue, in short, involves whether the Open Meetings Law or the Act should apply.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our view, it is clear that the OML applies, and that any other conclusion would defeat the clear</w:t>
      </w:r>
      <w:r>
        <w:rPr>
          <w:spacing w:val="1"/>
        </w:rPr>
        <w:t> </w:t>
      </w:r>
      <w:r>
        <w:rPr/>
        <w:t>intent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Legislature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its enactment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§260-a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Law.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ind w:left="120"/>
      </w:pPr>
      <w:r>
        <w:rPr/>
        <w:t>Page</w:t>
      </w:r>
      <w:r>
        <w:rPr>
          <w:spacing w:val="-3"/>
        </w:rPr>
        <w:t> </w:t>
      </w:r>
      <w:r>
        <w:rPr/>
        <w:t>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8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applies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non-profit</w:t>
      </w:r>
      <w:r>
        <w:rPr>
          <w:spacing w:val="1"/>
        </w:rPr>
        <w:t> </w:t>
      </w:r>
      <w:r>
        <w:rPr/>
        <w:t>entities,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McKinney’s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Statutory Construction,</w:t>
      </w:r>
      <w:r>
        <w:rPr>
          <w:spacing w:val="1"/>
        </w:rPr>
        <w:t> </w:t>
      </w:r>
      <w:r>
        <w:rPr/>
        <w:t>§32,</w:t>
      </w:r>
      <w:r>
        <w:rPr>
          <w:spacing w:val="1"/>
        </w:rPr>
        <w:t> </w:t>
      </w:r>
      <w:r>
        <w:rPr/>
        <w:t>may be characterized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260-a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 Law applies to particular non-profit entities, specifically non-profit, non-governmental</w:t>
      </w:r>
      <w:r>
        <w:rPr>
          <w:spacing w:val="-57"/>
        </w:rPr>
        <w:t> </w:t>
      </w:r>
      <w:r>
        <w:rPr/>
        <w:t>public libraries governed by a board of trustees and may be characterized for purposes of this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“special statute.”</w:t>
      </w:r>
      <w:r>
        <w:rPr>
          <w:spacing w:val="57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§32,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statute</w:t>
      </w:r>
      <w:r>
        <w:rPr>
          <w:spacing w:val="-2"/>
        </w:rPr>
        <w:t> </w:t>
      </w:r>
      <w:r>
        <w:rPr/>
        <w:t>prevails over 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2"/>
      </w:pPr>
    </w:p>
    <w:p>
      <w:pPr>
        <w:pStyle w:val="BodyText"/>
        <w:ind w:left="120" w:right="115" w:firstLine="720"/>
        <w:jc w:val="both"/>
      </w:pPr>
      <w:r>
        <w:rPr/>
        <w:t>In the context of your inquiry, it is our opinion that §260-a when coupled with the OML</w:t>
      </w:r>
      <w:r>
        <w:rPr>
          <w:spacing w:val="1"/>
        </w:rPr>
        <w:t> </w:t>
      </w:r>
      <w:r>
        <w:rPr/>
        <w:t>takes precedence and prevails over the Act.</w:t>
      </w:r>
      <w:r>
        <w:rPr>
          <w:spacing w:val="1"/>
        </w:rPr>
        <w:t> </w:t>
      </w:r>
      <w:r>
        <w:rPr/>
        <w:t>Again, a contrary conclusion would all but eliminate</w:t>
      </w:r>
      <w:r>
        <w:rPr>
          <w:spacing w:val="-57"/>
        </w:rPr>
        <w:t> </w:t>
      </w:r>
      <w:r>
        <w:rPr/>
        <w:t>the</w:t>
      </w:r>
      <w:r>
        <w:rPr>
          <w:spacing w:val="24"/>
        </w:rPr>
        <w:t> </w:t>
      </w:r>
      <w:r>
        <w:rPr/>
        <w:t>accountability</w:t>
      </w:r>
      <w:r>
        <w:rPr>
          <w:spacing w:val="20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State</w:t>
      </w:r>
      <w:r>
        <w:rPr>
          <w:spacing w:val="26"/>
        </w:rPr>
        <w:t> </w:t>
      </w:r>
      <w:r>
        <w:rPr/>
        <w:t>Legislature</w:t>
      </w:r>
      <w:r>
        <w:rPr>
          <w:spacing w:val="24"/>
        </w:rPr>
        <w:t> </w:t>
      </w:r>
      <w:r>
        <w:rPr/>
        <w:t>sought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guarantee</w:t>
      </w:r>
      <w:r>
        <w:rPr>
          <w:spacing w:val="24"/>
        </w:rPr>
        <w:t> </w:t>
      </w:r>
      <w:r>
        <w:rPr/>
        <w:t>by</w:t>
      </w:r>
      <w:r>
        <w:rPr>
          <w:spacing w:val="18"/>
        </w:rPr>
        <w:t> </w:t>
      </w:r>
      <w:r>
        <w:rPr/>
        <w:t>means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enactment</w:t>
      </w:r>
      <w:r>
        <w:rPr>
          <w:spacing w:val="25"/>
        </w:rPr>
        <w:t> </w:t>
      </w:r>
      <w:r>
        <w:rPr/>
        <w:t>of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statute.</w:t>
      </w:r>
    </w:p>
    <w:p>
      <w:pPr>
        <w:pStyle w:val="BodyText"/>
        <w:spacing w:before="5"/>
      </w:pPr>
    </w:p>
    <w:p>
      <w:pPr>
        <w:pStyle w:val="BodyText"/>
        <w:ind w:left="840"/>
      </w:pPr>
      <w:r>
        <w:rPr/>
        <w:t>I</w:t>
      </w:r>
      <w:r>
        <w:rPr>
          <w:spacing w:val="-5"/>
        </w:rPr>
        <w:t> </w:t>
      </w:r>
      <w:r>
        <w:rPr/>
        <w:t>hope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assistance.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os.state.ny.us/coog/index.html" TargetMode="External"/><Relationship Id="rId7" Type="http://schemas.openxmlformats.org/officeDocument/2006/relationships/hyperlink" Target="mailto:sgilboor@MAIL.NYSED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Patricia</dc:creator>
  <dcterms:created xsi:type="dcterms:W3CDTF">2021-05-19T20:02:41Z</dcterms:created>
  <dcterms:modified xsi:type="dcterms:W3CDTF">2021-05-19T20:02:41Z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2021-05-19T00:00:00Z</vt:filetime>
  </property>
</Properties>
</file>